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Play with your brother/sister/parent. See how well they follow these directions! The groups look the same, but they are not followed in the same order! See if you can figure out the difference in the order depending on where the before/after are placed in the directions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Before you raise your hands, stomp your feet.</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Before you say your last name, point to the floor.</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Before you close your eyes, touch your ear.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Before you name your favorite animal, clap your hands.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Before you point to the floor, say “Go Jackets!”.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Raise your hands before stomp your feet.</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Say your last name before you  point to the floor.</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Close your eyes before you touch your ear.</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Name your favorite animal before you clap your hands.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Point to the floor before you say “Go Jackets!”.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After you raise your hands, stomp your feet.</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After you say your last name, point to the floor.</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After you close your eyes, touch your ear.</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After you name your favorite animal, clap your hands.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After you point to the floor, say “Go Jackets!”.</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Raise your hands after you stomp your feet.</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Say your last name after you  point to the floor.</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Close your eyes after you touch your ear.</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Name your favorite animal after you clap your hands.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Point to the floor after you say “Go Jackets!”.</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